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CFE Generalnym Wykonawcą Bulwarów Książęcych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podpisało umowę w zakresie generalnego wykonawstwa na budowę Bulwarów Książęcych we Wrocławiu z CFE Polska. Dolnośląska inwestycja jest już czwartym projektem, przy którym belgijski deweloper zdecydował się na współpracę z siostrzana spółką. Bulwary Książęce powstaną przy ul. Księcia Witolda u zbiegu dwóch ramion Odry od strony Mostu Pomorskiego na Kępie Mieszczańskiej. Inwestycja zakłada realizację nowoczesnego kompleksu mieszkaniowego z 352 apartamentami oraz mieszkaniami o podwyższonym standardzie, a także ogólnodostępną promenadą handlową i nowym miejskim placem.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Począwszy od pierwszej inwestycji w Gdańsku, przy współpracy z CFE realizujemy kolejne projekty w Polsce. Ich wyróżnikiem jest jakość i dbałość o najmniejsze szczegóły, w kwestii których nie uznajemy żadnych kompromisów. Powiązania grupowe pozwalają nam na znacznie większą kontrolę każdego elementu wykonawstwa calej inwestycji i w efekcie zachowanie najwyższego standardu mieszkań, które następnie oddajemy do użytku naszym klientom </w:t>
      </w:r>
      <w:r>
        <w:rPr>
          <w:rFonts w:ascii="calibri" w:hAnsi="calibri" w:eastAsia="calibri" w:cs="calibri"/>
          <w:sz w:val="24"/>
          <w:szCs w:val="24"/>
        </w:rPr>
        <w:t xml:space="preserve">– mówi Maciej Golis, Dyrektor Projektu w BPI Polska odpowiedzialny za realizację inwestycji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Bulwary Książęce zostaną zrealizowane w dwóch etapach, w ramach I powstanie 175 lokali mieszkalnych. Będą to mieszkania o podwyższonym standardzie typu Comfort o wysokości 2,68 m oraz apartamenty Prestige o wysokości 2,82 m. Budynek został zaprojektowany tak, aby maksymalnie wykorzystać walory widokowe wynikające z unikatowego położenia projektu u zbiegu dwóch ramion Odry, w reprezentacyjnym sąsiedztwie Starego Miasta naprzeciwko Archiwów Państwowych. Poza dużymi, drewnianymi oknami każdy lokal będzie posiadał przestronny taras lub wygodny, duży balkon, </w:t>
      </w:r>
    </w:p>
    <w:p>
      <w:r>
        <w:rPr>
          <w:rFonts w:ascii="calibri" w:hAnsi="calibri" w:eastAsia="calibri" w:cs="calibri"/>
          <w:sz w:val="24"/>
          <w:szCs w:val="24"/>
        </w:rPr>
        <w:t xml:space="preserve"> a w przypadku mieszkań położonych na I kondygnacji ogród. Na I kondygnacji znajdzie się również zielone patio ze starannie zaprojektowaną roślinnością oraz strefą zabaw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zabudowy mieszkalnej, na poziomie parteru, znajdzie się z kolei lokale handlowe zaprojektowane w formie ogólnodostępnej promenady handlowej z kawiarniami, restauracjami i sklepikami, którą zwieńczy nowy plac miejski – położony od strony mostu Pomorskiego.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etap inwestycji przewiduje powstanie kolejnych 177 mieszkań. Uruchomienie sprzedaży I etapu inwestycji ruszy już jesienią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2025-11-22T17:22:32+01:00</dcterms:created>
  <dcterms:modified xsi:type="dcterms:W3CDTF">2025-11-22T17:22:32+01:00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