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we Wrocławiu – 50 % mieszkań już sprzedanych!</w:t>
      </w:r>
    </w:p>
    <w:p>
      <w:pPr>
        <w:spacing w:before="0" w:after="500" w:line="264" w:lineRule="auto"/>
      </w:pPr>
      <w:r>
        <w:rPr>
          <w:rFonts w:ascii="calibri" w:hAnsi="calibri" w:eastAsia="calibri" w:cs="calibri"/>
          <w:sz w:val="36"/>
          <w:szCs w:val="36"/>
          <w:b/>
        </w:rPr>
        <w:t xml:space="preserve">BPi Polska sprzedało już 50% mieszkań w powstającym obecnie, I etapie inwestycji Bulwary Książęce we Wrocławiu. Oferta belgijskiego dewelopera cieszy się bardzo dużym zainteresowaniem klientów, którzy doceniają zarówno doskonałą lokalizację inwestycji w prestiżowym sąsiedztwie Starego Miasta, jak i unikatową koncepcję samego kompleksu wprowadzającego nową jakość na polskim rynku w zakresie realizacji projektów typu mixed-use.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r>
        <w:rPr>
          <w:rFonts w:ascii="calibri" w:hAnsi="calibri" w:eastAsia="calibri" w:cs="calibri"/>
          <w:sz w:val="24"/>
          <w:szCs w:val="24"/>
        </w:rPr>
        <w:t xml:space="preserve">W I etapie wybudowanych zostanie 175 mieszkań o powierzchni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których 50%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r>
        <w:rPr>
          <w:rFonts w:ascii="calibri" w:hAnsi="calibri" w:eastAsia="calibri" w:cs="calibri"/>
          <w:sz w:val="24"/>
          <w:szCs w:val="24"/>
          <w:i/>
          <w:iCs/>
        </w:rPr>
        <w:t xml:space="preserve">–Koncepcja połączenia dwóch funkcji jest odpowiedzią na zmieniające się potrzeby mieszkańców wielkich metropolii zgodnie z najnowszymi europejskimi trendami. Nasi klienci, przyszli mieszkańcy Bulwarów Książęcych to osoby, które cenią śródmiejski styl życia. Chcą mieszkać w centrum miasta, korzystać z wygodnego i szybkiego dojazdu na uczelnie, do szkoły czy pracy, ale przede wszystkim mieć pod ręką wszystko to co, decyduje o komforcie codziennego życia – ulubiona kawiarnia, restauracja, delikatesy, drogeria czy księgarnia. Gro naszych klientów to również osoby dojrzałe, które wracają z domów na prowincji do miasta, chcąc korzystać z jego infrastruktury kulturalnej, czy mieszkać bliżej dorosłych już dzieci –</w:t>
      </w:r>
      <w:r>
        <w:rPr>
          <w:rFonts w:ascii="calibri" w:hAnsi="calibri" w:eastAsia="calibri" w:cs="calibri"/>
          <w:sz w:val="24"/>
          <w:szCs w:val="24"/>
        </w:rPr>
        <w:t xml:space="preserve"> mówi Maciej Golis Maciej Golis, Dyrektor Projektu Bulwary Książęce w BPi Polska.</w:t>
      </w:r>
    </w:p>
    <w:p>
      <w:pPr>
        <w:spacing w:before="0" w:after="300"/>
      </w:pPr>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 ciszę i bezpieczeństwo mieszkańcom Bulwarów Książęcych.</w:t>
      </w:r>
    </w:p>
    <w:p>
      <w:pPr>
        <w:spacing w:before="0" w:after="300"/>
      </w:pPr>
      <w:r>
        <w:rPr>
          <w:rFonts w:ascii="calibri" w:hAnsi="calibri" w:eastAsia="calibri" w:cs="calibri"/>
          <w:sz w:val="24"/>
          <w:szCs w:val="24"/>
        </w:rPr>
        <w:t xml:space="preserve">Aktualnie trwają prace m.in. związane z budową kondygnacji podziemnych, na których poza miejscami postojowymi dla mieszkańców znajdą się również oddzielne parkingi dla osób odwiedzających pasaż.</w:t>
      </w:r>
    </w:p>
    <w:p>
      <w:pPr>
        <w:spacing w:before="0" w:after="300"/>
      </w:pPr>
      <w:r>
        <w:rPr>
          <w:rFonts w:ascii="calibri" w:hAnsi="calibri" w:eastAsia="calibri" w:cs="calibri"/>
          <w:sz w:val="24"/>
          <w:szCs w:val="24"/>
        </w:rPr>
        <w:t xml:space="preserve">Ceny mieszkań w inwestycji wynoszą od 8300 do 13 500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Zakończenie realizacji I etapu Bulwarów Książęcych planowane jest na połowę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2026-05-25T16:11:10+02:00</dcterms:created>
  <dcterms:modified xsi:type="dcterms:W3CDTF">2026-05-25T16:11:10+02:00</dcterms:modified>
</cp:coreProperties>
</file>

<file path=docProps/custom.xml><?xml version="1.0" encoding="utf-8"?>
<Properties xmlns="http://schemas.openxmlformats.org/officeDocument/2006/custom-properties" xmlns:vt="http://schemas.openxmlformats.org/officeDocument/2006/docPropsVTypes"/>
</file>